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tblCellSpacing w:w="0" w:type="dxa"/>
        <w:tblCellMar>
          <w:left w:w="0" w:type="dxa"/>
          <w:right w:w="0" w:type="dxa"/>
        </w:tblCellMar>
        <w:tblLook w:val="04A0"/>
      </w:tblPr>
      <w:tblGrid>
        <w:gridCol w:w="9015"/>
      </w:tblGrid>
      <w:tr w:rsidR="00FD4418" w:rsidRPr="00FD4418" w:rsidTr="00FD4418">
        <w:trPr>
          <w:trHeight w:val="750"/>
          <w:tblCellSpacing w:w="0" w:type="dxa"/>
        </w:trPr>
        <w:tc>
          <w:tcPr>
            <w:tcW w:w="0" w:type="auto"/>
            <w:vAlign w:val="center"/>
            <w:hideMark/>
          </w:tcPr>
          <w:p w:rsidR="00FD4418" w:rsidRPr="00FD4418" w:rsidRDefault="00FD4418" w:rsidP="00FD4418">
            <w:pPr>
              <w:widowControl/>
              <w:spacing w:line="450" w:lineRule="atLeast"/>
              <w:jc w:val="center"/>
              <w:rPr>
                <w:rFonts w:ascii="宋体" w:eastAsia="宋体" w:hAnsi="宋体" w:cs="宋体"/>
                <w:b/>
                <w:bCs/>
                <w:color w:val="000000"/>
                <w:kern w:val="0"/>
                <w:sz w:val="30"/>
                <w:szCs w:val="30"/>
              </w:rPr>
            </w:pPr>
            <w:r w:rsidRPr="00FD4418">
              <w:rPr>
                <w:rFonts w:ascii="宋体" w:eastAsia="宋体" w:hAnsi="宋体" w:cs="宋体" w:hint="eastAsia"/>
                <w:b/>
                <w:bCs/>
                <w:color w:val="000000"/>
                <w:kern w:val="0"/>
                <w:sz w:val="30"/>
                <w:szCs w:val="30"/>
              </w:rPr>
              <w:t>中共中央党校办公厅关于开展</w:t>
            </w:r>
            <w:r w:rsidRPr="00FD4418">
              <w:rPr>
                <w:rFonts w:ascii="宋体" w:eastAsia="宋体" w:hAnsi="宋体" w:cs="宋体" w:hint="eastAsia"/>
                <w:b/>
                <w:bCs/>
                <w:color w:val="000000"/>
                <w:kern w:val="0"/>
                <w:sz w:val="30"/>
                <w:szCs w:val="30"/>
              </w:rPr>
              <w:br/>
              <w:t>全国党校系统第十一届优秀科研成果奖、</w:t>
            </w:r>
            <w:r w:rsidRPr="00FD4418">
              <w:rPr>
                <w:rFonts w:ascii="宋体" w:eastAsia="宋体" w:hAnsi="宋体" w:cs="宋体" w:hint="eastAsia"/>
                <w:b/>
                <w:bCs/>
                <w:color w:val="000000"/>
                <w:kern w:val="0"/>
                <w:sz w:val="30"/>
                <w:szCs w:val="30"/>
              </w:rPr>
              <w:br/>
              <w:t>优秀决策咨询奖、优秀科研工作组织奖</w:t>
            </w:r>
            <w:r w:rsidRPr="00FD4418">
              <w:rPr>
                <w:rFonts w:ascii="宋体" w:eastAsia="宋体" w:hAnsi="宋体" w:cs="宋体" w:hint="eastAsia"/>
                <w:b/>
                <w:bCs/>
                <w:color w:val="000000"/>
                <w:kern w:val="0"/>
                <w:sz w:val="30"/>
                <w:szCs w:val="30"/>
              </w:rPr>
              <w:br/>
              <w:t>和优秀科研管理工作者奖评选工作的通知</w:t>
            </w:r>
          </w:p>
        </w:tc>
      </w:tr>
      <w:tr w:rsidR="00FD4418" w:rsidRPr="00FD4418" w:rsidTr="00FD4418">
        <w:trPr>
          <w:tblCellSpacing w:w="0" w:type="dxa"/>
        </w:trPr>
        <w:tc>
          <w:tcPr>
            <w:tcW w:w="0" w:type="auto"/>
            <w:vAlign w:val="center"/>
            <w:hideMark/>
          </w:tcPr>
          <w:tbl>
            <w:tblPr>
              <w:tblW w:w="8250" w:type="dxa"/>
              <w:jc w:val="center"/>
              <w:tblCellSpacing w:w="0" w:type="dxa"/>
              <w:tblCellMar>
                <w:left w:w="0" w:type="dxa"/>
                <w:right w:w="0" w:type="dxa"/>
              </w:tblCellMar>
              <w:tblLook w:val="04A0"/>
            </w:tblPr>
            <w:tblGrid>
              <w:gridCol w:w="8250"/>
            </w:tblGrid>
            <w:tr w:rsidR="00FD4418" w:rsidRPr="00FD4418">
              <w:trPr>
                <w:trHeight w:val="450"/>
                <w:tblCellSpacing w:w="0" w:type="dxa"/>
                <w:jc w:val="center"/>
              </w:trPr>
              <w:tc>
                <w:tcPr>
                  <w:tcW w:w="0" w:type="auto"/>
                  <w:vAlign w:val="center"/>
                  <w:hideMark/>
                </w:tcPr>
                <w:p w:rsidR="00FD4418" w:rsidRPr="00FD4418" w:rsidRDefault="00FD4418" w:rsidP="00FD4418">
                  <w:pPr>
                    <w:widowControl/>
                    <w:spacing w:line="360" w:lineRule="atLeast"/>
                    <w:jc w:val="center"/>
                    <w:rPr>
                      <w:rFonts w:ascii="宋体" w:eastAsia="宋体" w:hAnsi="宋体" w:cs="宋体"/>
                      <w:color w:val="646464"/>
                      <w:kern w:val="0"/>
                      <w:szCs w:val="21"/>
                    </w:rPr>
                  </w:pPr>
                </w:p>
              </w:tc>
            </w:tr>
          </w:tbl>
          <w:p w:rsidR="00FD4418" w:rsidRPr="00FD4418" w:rsidRDefault="00FD4418" w:rsidP="00FD4418">
            <w:pPr>
              <w:widowControl/>
              <w:jc w:val="left"/>
              <w:rPr>
                <w:rFonts w:ascii="宋体" w:eastAsia="宋体" w:hAnsi="宋体" w:cs="宋体"/>
                <w:color w:val="000000"/>
                <w:kern w:val="0"/>
                <w:sz w:val="27"/>
                <w:szCs w:val="27"/>
              </w:rPr>
            </w:pPr>
          </w:p>
        </w:tc>
      </w:tr>
      <w:tr w:rsidR="00FD4418" w:rsidRPr="00FD4418" w:rsidTr="00FD4418">
        <w:trPr>
          <w:trHeight w:val="300"/>
          <w:tblCellSpacing w:w="0" w:type="dxa"/>
        </w:trPr>
        <w:tc>
          <w:tcPr>
            <w:tcW w:w="0" w:type="auto"/>
            <w:vAlign w:val="center"/>
            <w:hideMark/>
          </w:tcPr>
          <w:p w:rsidR="00FD4418" w:rsidRPr="00FD4418" w:rsidRDefault="00FD4418" w:rsidP="00FD4418">
            <w:pPr>
              <w:widowControl/>
              <w:jc w:val="center"/>
              <w:rPr>
                <w:rFonts w:ascii="宋体" w:eastAsia="宋体" w:hAnsi="宋体" w:cs="宋体"/>
                <w:color w:val="2A6164"/>
                <w:kern w:val="0"/>
                <w:sz w:val="18"/>
                <w:szCs w:val="18"/>
              </w:rPr>
            </w:pPr>
            <w:r w:rsidRPr="00FD4418">
              <w:rPr>
                <w:rFonts w:ascii="宋体" w:eastAsia="宋体" w:hAnsi="宋体" w:cs="宋体" w:hint="eastAsia"/>
                <w:color w:val="2A6164"/>
                <w:kern w:val="0"/>
                <w:sz w:val="18"/>
                <w:szCs w:val="18"/>
              </w:rPr>
              <w:t>文章来源：中央党校网　[作者：]　 发布时间：2016-09-30</w:t>
            </w:r>
          </w:p>
        </w:tc>
      </w:tr>
      <w:tr w:rsidR="00FD4418" w:rsidRPr="00FD4418" w:rsidTr="00FD4418">
        <w:trPr>
          <w:tblCellSpacing w:w="0" w:type="dxa"/>
        </w:trPr>
        <w:tc>
          <w:tcPr>
            <w:tcW w:w="0" w:type="auto"/>
            <w:vAlign w:val="center"/>
            <w:hideMark/>
          </w:tcPr>
          <w:tbl>
            <w:tblPr>
              <w:tblW w:w="8580" w:type="dxa"/>
              <w:jc w:val="center"/>
              <w:tblCellSpacing w:w="0" w:type="dxa"/>
              <w:tblCellMar>
                <w:left w:w="0" w:type="dxa"/>
                <w:right w:w="0" w:type="dxa"/>
              </w:tblCellMar>
              <w:tblLook w:val="04A0"/>
            </w:tblPr>
            <w:tblGrid>
              <w:gridCol w:w="8580"/>
            </w:tblGrid>
            <w:tr w:rsidR="00FD4418" w:rsidRPr="00FD4418">
              <w:trPr>
                <w:tblCellSpacing w:w="0" w:type="dxa"/>
                <w:jc w:val="center"/>
              </w:trPr>
              <w:tc>
                <w:tcPr>
                  <w:tcW w:w="0" w:type="auto"/>
                  <w:vAlign w:val="center"/>
                  <w:hideMark/>
                </w:tcPr>
                <w:p w:rsidR="00FD4418" w:rsidRPr="00FD4418" w:rsidRDefault="00FD4418" w:rsidP="00FD4418">
                  <w:pPr>
                    <w:widowControl/>
                    <w:jc w:val="left"/>
                    <w:rPr>
                      <w:rFonts w:ascii="宋体" w:eastAsia="宋体" w:hAnsi="宋体" w:cs="宋体"/>
                      <w:kern w:val="0"/>
                      <w:sz w:val="24"/>
                      <w:szCs w:val="24"/>
                    </w:rPr>
                  </w:pPr>
                  <w:r w:rsidRPr="00FD4418">
                    <w:rPr>
                      <w:rFonts w:ascii="宋体" w:eastAsia="宋体" w:hAnsi="宋体" w:cs="宋体"/>
                      <w:kern w:val="0"/>
                      <w:sz w:val="24"/>
                      <w:szCs w:val="24"/>
                    </w:rPr>
                    <w:t> </w:t>
                  </w:r>
                </w:p>
              </w:tc>
            </w:tr>
          </w:tbl>
          <w:p w:rsidR="00FD4418" w:rsidRPr="00FD4418" w:rsidRDefault="00FD4418" w:rsidP="00FD4418">
            <w:pPr>
              <w:widowControl/>
              <w:jc w:val="center"/>
              <w:rPr>
                <w:rFonts w:ascii="宋体" w:eastAsia="宋体" w:hAnsi="宋体" w:cs="宋体"/>
                <w:color w:val="000000"/>
                <w:kern w:val="0"/>
                <w:sz w:val="27"/>
                <w:szCs w:val="27"/>
              </w:rPr>
            </w:pPr>
          </w:p>
        </w:tc>
      </w:tr>
      <w:tr w:rsidR="00FD4418" w:rsidRPr="00FD4418" w:rsidTr="00FD4418">
        <w:trPr>
          <w:tblCellSpacing w:w="0" w:type="dxa"/>
        </w:trPr>
        <w:tc>
          <w:tcPr>
            <w:tcW w:w="0" w:type="auto"/>
            <w:vAlign w:val="center"/>
            <w:hideMark/>
          </w:tcPr>
          <w:tbl>
            <w:tblPr>
              <w:tblW w:w="8580" w:type="dxa"/>
              <w:jc w:val="center"/>
              <w:tblCellSpacing w:w="0" w:type="dxa"/>
              <w:tblCellMar>
                <w:left w:w="0" w:type="dxa"/>
                <w:right w:w="0" w:type="dxa"/>
              </w:tblCellMar>
              <w:tblLook w:val="04A0"/>
            </w:tblPr>
            <w:tblGrid>
              <w:gridCol w:w="8580"/>
            </w:tblGrid>
            <w:tr w:rsidR="00FD4418" w:rsidRPr="00FD4418">
              <w:trPr>
                <w:trHeight w:val="225"/>
                <w:tblCellSpacing w:w="0" w:type="dxa"/>
                <w:jc w:val="center"/>
              </w:trPr>
              <w:tc>
                <w:tcPr>
                  <w:tcW w:w="0" w:type="auto"/>
                  <w:vAlign w:val="center"/>
                  <w:hideMark/>
                </w:tcPr>
                <w:p w:rsidR="00FD4418" w:rsidRPr="00FD4418" w:rsidRDefault="00FD4418" w:rsidP="00FD4418">
                  <w:pPr>
                    <w:widowControl/>
                    <w:jc w:val="left"/>
                    <w:rPr>
                      <w:rFonts w:ascii="宋体" w:eastAsia="宋体" w:hAnsi="宋体" w:cs="宋体"/>
                      <w:kern w:val="0"/>
                      <w:sz w:val="22"/>
                      <w:szCs w:val="24"/>
                    </w:rPr>
                  </w:pPr>
                </w:p>
              </w:tc>
            </w:tr>
            <w:tr w:rsidR="00FD4418" w:rsidRPr="00FD4418">
              <w:trPr>
                <w:tblCellSpacing w:w="0" w:type="dxa"/>
                <w:jc w:val="center"/>
              </w:trPr>
              <w:tc>
                <w:tcPr>
                  <w:tcW w:w="0" w:type="auto"/>
                  <w:vAlign w:val="center"/>
                  <w:hideMark/>
                </w:tcPr>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各省、自治区、直辖市党委党校，铁道党校，新疆生产建设兵团党委党校，各副省级城市党委党校：</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为充分调动全国党校系统教研人员的科研积极性，鼓励出精品力作，促进科研管理水平的不断提升，依据《全国党校科研评奖条例》《全国党校优秀科研成果奖、优秀决策咨询奖评审细则》《全国党校优秀科研工作组织奖评审细则》和《全国党校优秀科研管理工作者奖评选细则》（中校厅发〔2015〕9号），决定今年开展第十一届（2014-2015年）全国党校系统科研评奖工作。现将评奖有关事宜通知如下：</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w:t>
                  </w:r>
                  <w:r w:rsidRPr="00FD4418">
                    <w:rPr>
                      <w:rFonts w:ascii="宋体" w:eastAsia="宋体" w:hAnsi="宋体" w:cs="宋体"/>
                      <w:b/>
                      <w:bCs/>
                      <w:color w:val="686868"/>
                      <w:kern w:val="0"/>
                      <w:sz w:val="24"/>
                      <w:szCs w:val="24"/>
                    </w:rPr>
                    <w:t>一、全国党校优秀科研成果奖</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1.参评时间范围及成果形式</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省级党校、副省级城市党校在职人员2014年1月1日至2015年12月31日期间，公开出版的学术著作（不含论文集）、教材，公开发表的学术论文、研究报告等。</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2.参评成果数量</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省级党校推荐参评成果不超过8项，副省级城市党校推荐参评成果不超过6项。著作、教材、论文和研究报告等指标可通用。</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3.获奖比例</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lastRenderedPageBreak/>
                    <w:t xml:space="preserve">　　获奖总数为150项左右，其中获奖的省级党校获奖数不超过4项、副省级城市党校获奖数不超过3项。一等奖不超过获奖总数的5%，二等奖不超过获奖总数的20%，宁缺勿滥。</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4.评审程序</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1）初评。参评单位科研管理部门进行初评，并按规定时间提交参评成果的电子版（word、pdf、扫描电子版等），电子版必须能够表明和体现原件，如期刊网下载的论文、pdf格式的图书、研究报告的扫描电子版等，电子版需经技术处理，不得透露任何作者信息；优秀科研成果奖推荐表（见附件1）填写并加盖公章后，将扫描电子版及原始表格电子版一并提交。</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（2）复评。中央党校科研部组织相关专家进行双向匿名评审，其中党校系统以外的评审专家占专家总数的三分之一。</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（3）会议评审。科研部组织专家，对复评后入围作品进行严格的会议评审。</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（4）审核、批准。中央党校科研部评奖工作领导小组在各学科评审组评审结果的基础上，拟定获奖名单及等次，报中央党校校委审定并批准。</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w:t>
                  </w:r>
                  <w:r w:rsidRPr="00FD4418">
                    <w:rPr>
                      <w:rFonts w:ascii="宋体" w:eastAsia="宋体" w:hAnsi="宋体" w:cs="宋体"/>
                      <w:b/>
                      <w:bCs/>
                      <w:color w:val="686868"/>
                      <w:kern w:val="0"/>
                      <w:sz w:val="24"/>
                      <w:szCs w:val="24"/>
                    </w:rPr>
                    <w:t>二、全国党校优秀决策咨询奖</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1.参评时间范围及成果形式</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省级党校、副省级城市党校在职人员2014年1月1日至2015年12月31日期间，通过内部参阅件方式上报并获得副省级以上领导（含）肯定性批示，或被副省级以上单位（含）决策采用的决策咨询成果。</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2.参评成果数量</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每家省级党校推荐参评成果不超过6项，每家副省级城市党校推荐参评成果不超过4项。</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lastRenderedPageBreak/>
                    <w:t xml:space="preserve">　　3.获奖比例</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获奖总数为50项左右，其中一等奖不超过获奖总数的5%，二等奖不超过获奖总数的20%，宁缺勿滥。</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4.评审程序</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1）初评。参评单位科研管理部门进行初评，并按规定时间提交参评成果的电子版（word、pdf、扫描电子版等），不适合以电子邮件发送的，邮寄光盘，电子版需经技术处理，不得透露任何作者信息；优秀决策咨询奖推荐表（见附件2）填写并加盖公章，将扫描电子版及原始表格电子版一并提交。</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（2）复评。中央党校科研部组织相关专家进行双向匿名评审，其中党校系统以外的评审专家占专家总数的三分之一。</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（3）会议评审。科研部组织专家，对复评后入围作品进行严格的会议评审。</w:t>
                  </w:r>
                </w:p>
                <w:p w:rsidR="00FD4418" w:rsidRPr="00FD4418" w:rsidRDefault="00FD4418" w:rsidP="00FD4418">
                  <w:pPr>
                    <w:widowControl/>
                    <w:spacing w:before="100" w:beforeAutospacing="1" w:after="100" w:afterAutospacing="1" w:line="480" w:lineRule="atLeast"/>
                    <w:jc w:val="left"/>
                    <w:rPr>
                      <w:rFonts w:ascii="宋体" w:eastAsia="宋体" w:hAnsi="宋体" w:cs="宋体"/>
                      <w:color w:val="686868"/>
                      <w:kern w:val="0"/>
                      <w:sz w:val="24"/>
                      <w:szCs w:val="24"/>
                    </w:rPr>
                  </w:pPr>
                  <w:r w:rsidRPr="00FD4418">
                    <w:rPr>
                      <w:rFonts w:ascii="宋体" w:eastAsia="宋体" w:hAnsi="宋体" w:cs="宋体"/>
                      <w:color w:val="686868"/>
                      <w:kern w:val="0"/>
                      <w:sz w:val="24"/>
                      <w:szCs w:val="24"/>
                    </w:rPr>
                    <w:t xml:space="preserve">　　（4）审核、批准。中央党校科研部评奖工作领导小组在各学科评审组评审结果的基础上，拟定获奖名单及等次，报中央党校校委审定并批准。</w:t>
                  </w:r>
                </w:p>
              </w:tc>
            </w:tr>
          </w:tbl>
          <w:p w:rsidR="00FD4418" w:rsidRPr="00FD4418" w:rsidRDefault="00FD4418" w:rsidP="00FD4418">
            <w:pPr>
              <w:widowControl/>
              <w:jc w:val="center"/>
              <w:rPr>
                <w:rFonts w:ascii="宋体" w:eastAsia="宋体" w:hAnsi="宋体" w:cs="宋体"/>
                <w:color w:val="000000"/>
                <w:kern w:val="0"/>
                <w:sz w:val="27"/>
                <w:szCs w:val="27"/>
              </w:rPr>
            </w:pPr>
          </w:p>
        </w:tc>
      </w:tr>
    </w:tbl>
    <w:p w:rsidR="00000000" w:rsidRDefault="005B0C79">
      <w:pPr>
        <w:rPr>
          <w:rFonts w:hint="eastAsia"/>
        </w:rPr>
      </w:pPr>
    </w:p>
    <w:p w:rsidR="00FD4418" w:rsidRDefault="00FD4418">
      <w:pPr>
        <w:rPr>
          <w:rStyle w:val="a6"/>
          <w:rFonts w:hint="eastAsia"/>
          <w:color w:val="686868"/>
          <w:sz w:val="27"/>
          <w:szCs w:val="27"/>
        </w:rPr>
      </w:pPr>
      <w:r>
        <w:rPr>
          <w:rStyle w:val="a6"/>
          <w:rFonts w:hint="eastAsia"/>
          <w:color w:val="686868"/>
          <w:sz w:val="27"/>
          <w:szCs w:val="27"/>
        </w:rPr>
        <w:t>三、全国党校优秀科研工作组织奖（含项目中标奖、工作进步奖）</w:t>
      </w:r>
    </w:p>
    <w:p w:rsidR="00FD4418" w:rsidRDefault="00FD4418" w:rsidP="00FD4418">
      <w:pPr>
        <w:pStyle w:val="a5"/>
        <w:spacing w:line="480" w:lineRule="atLeast"/>
        <w:rPr>
          <w:color w:val="686868"/>
          <w:sz w:val="27"/>
          <w:szCs w:val="27"/>
        </w:rPr>
      </w:pPr>
      <w:r>
        <w:rPr>
          <w:rFonts w:hint="eastAsia"/>
          <w:color w:val="686868"/>
          <w:sz w:val="27"/>
          <w:szCs w:val="27"/>
        </w:rPr>
        <w:t>1.评选范围</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省级党校、副省级城市党校。</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2.评选内容</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重点考评承担科研项目，出版学术著作，发表学术论文，内参研究报告被采用情况，获奖情况，组织和承办学术会议等。</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3.评选办法</w:t>
      </w:r>
    </w:p>
    <w:p w:rsidR="00FD4418" w:rsidRDefault="00FD4418" w:rsidP="00FD4418">
      <w:pPr>
        <w:pStyle w:val="a5"/>
        <w:spacing w:line="480" w:lineRule="atLeast"/>
        <w:rPr>
          <w:rFonts w:hint="eastAsia"/>
          <w:color w:val="686868"/>
          <w:sz w:val="27"/>
          <w:szCs w:val="27"/>
        </w:rPr>
      </w:pPr>
      <w:r>
        <w:rPr>
          <w:rFonts w:hint="eastAsia"/>
          <w:color w:val="686868"/>
          <w:sz w:val="27"/>
          <w:szCs w:val="27"/>
        </w:rPr>
        <w:lastRenderedPageBreak/>
        <w:t xml:space="preserve">　　评选依据《全国党校优秀科研工作组织奖评审细则》有关标准和规定，采用量化办法核定总分数，并除以专职教研人员人数（以2015年12月31日为基准），获奖依最终得分多少而定。</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4.获奖名额</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全国党校优秀科研工作组织奖：省级党校不超过10家，副省级城市党校不超过5家。</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项目中标奖：省级党校不超过3家，副省级城市党校不超过3家。</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科研工作进步奖：省级党校不超过3家，副省级城市党校不超过3家。</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5.评审程序</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（1）各党校按要求填写上报材料（见附件3），将原始表格电子版及加盖公章后的封面扫描电子版一并报送。　　</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（2）中央党校科研部协作处对上报材料严格按照《全国党校优秀科研工作组织奖评审细则》进行复核并计算分数。</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（3）中央党校科研部评奖工作领导小组核定积分、排序、拟定获奖名单，报中央党校校委审定并批准。</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w:t>
      </w:r>
      <w:r>
        <w:rPr>
          <w:rStyle w:val="a6"/>
          <w:rFonts w:hint="eastAsia"/>
          <w:color w:val="686868"/>
          <w:sz w:val="27"/>
          <w:szCs w:val="27"/>
        </w:rPr>
        <w:t>四、全国党校优秀科研管理工作者奖</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1.评选范围</w:t>
      </w:r>
    </w:p>
    <w:p w:rsidR="00FD4418" w:rsidRDefault="00FD4418" w:rsidP="00FD4418">
      <w:pPr>
        <w:pStyle w:val="a5"/>
        <w:spacing w:line="480" w:lineRule="atLeast"/>
        <w:rPr>
          <w:rFonts w:hint="eastAsia"/>
          <w:color w:val="686868"/>
          <w:sz w:val="27"/>
          <w:szCs w:val="27"/>
        </w:rPr>
      </w:pPr>
      <w:r>
        <w:rPr>
          <w:rFonts w:hint="eastAsia"/>
          <w:color w:val="686868"/>
          <w:sz w:val="27"/>
          <w:szCs w:val="27"/>
        </w:rPr>
        <w:lastRenderedPageBreak/>
        <w:t xml:space="preserve">　　省级党校、副省级城市党校校领导，科研管理部门从事科研管理工作两年以上、在科研管理工作中取得优异成绩的人员。</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2.评选名额</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获优秀科研工作组织奖、项目中标奖、科研工作进步奖的省级党校、副省级城市党校2个指标：一名为校领导（常务副校长或主管科研工作的副校长），另一名为科研管理工作者（处长、副处长或其他工作人员）。</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3.评审程序</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各党校按要求填写《全国党校系统优秀科研管理工作者推荐表》（见附件4），加盖公章后，将扫描电子版及原始表格电子版一并提交,中央党校科研部评奖工作领导小组审核后，报中央党校校委审定。</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w:t>
      </w:r>
      <w:r>
        <w:rPr>
          <w:rStyle w:val="a6"/>
          <w:rFonts w:hint="eastAsia"/>
          <w:color w:val="686868"/>
          <w:sz w:val="27"/>
          <w:szCs w:val="27"/>
        </w:rPr>
        <w:t>五、奖项说明</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1.全国党校优秀科研成果奖、全国党校优秀决策咨询奖、全国党校优秀科研工作组织奖、项目中标奖、科研工作进步奖和全国党校优秀科研管理工作者奖，以中央党校名义颁发证书，以中央党校文件形式向全国党校通报，并择时举行颁奖会进行表彰。</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2.建议各单位根据本单位实际情况，对获奖者进行适当奖励。</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w:t>
      </w:r>
      <w:r>
        <w:rPr>
          <w:rStyle w:val="a6"/>
          <w:rFonts w:hint="eastAsia"/>
          <w:color w:val="686868"/>
          <w:sz w:val="27"/>
          <w:szCs w:val="27"/>
        </w:rPr>
        <w:t>六、报送材料要求</w:t>
      </w:r>
    </w:p>
    <w:p w:rsidR="00FD4418" w:rsidRDefault="00FD4418" w:rsidP="00FD4418">
      <w:pPr>
        <w:pStyle w:val="a5"/>
        <w:spacing w:line="480" w:lineRule="atLeast"/>
        <w:rPr>
          <w:rFonts w:hint="eastAsia"/>
          <w:color w:val="686868"/>
          <w:sz w:val="27"/>
          <w:szCs w:val="27"/>
        </w:rPr>
      </w:pPr>
      <w:r>
        <w:rPr>
          <w:rFonts w:hint="eastAsia"/>
          <w:color w:val="686868"/>
          <w:sz w:val="27"/>
          <w:szCs w:val="27"/>
        </w:rPr>
        <w:lastRenderedPageBreak/>
        <w:t xml:space="preserve">　　1.各党校严格审核，确保上报材料的真实性。发现弄虚作假的，取消奖项评选资格并在全国党校系统通报批评。</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2.本通知中所提到的各类推荐表及申报表，参见中共中央党校网站（</w:t>
      </w:r>
      <w:hyperlink r:id="rId6" w:history="1">
        <w:r>
          <w:rPr>
            <w:rStyle w:val="a7"/>
            <w:rFonts w:hint="eastAsia"/>
            <w:sz w:val="27"/>
            <w:szCs w:val="27"/>
          </w:rPr>
          <w:t>http://www.ccps.gov.cn</w:t>
        </w:r>
      </w:hyperlink>
      <w:r>
        <w:rPr>
          <w:rFonts w:hint="eastAsia"/>
          <w:color w:val="686868"/>
          <w:sz w:val="27"/>
          <w:szCs w:val="27"/>
        </w:rPr>
        <w:t>）“科研工作”栏目本通知附件，可直接点击下载并阅读、填写。</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3.请各党校于10月30日前将评审材料发送至中央党校科研部协作处邮箱（kyxzccps@163.com），文件名应清楚、明了，该邮箱已设置自动回复功能。逾期不报送视为自动放弃。</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联系人：李宁 黄相怀</w:t>
      </w:r>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附件：1、</w:t>
      </w:r>
      <w:hyperlink r:id="rId7" w:history="1">
        <w:r>
          <w:rPr>
            <w:rStyle w:val="a7"/>
            <w:rFonts w:hint="eastAsia"/>
            <w:sz w:val="27"/>
            <w:szCs w:val="27"/>
          </w:rPr>
          <w:t>《优秀科研成果推荐表》.docx</w:t>
        </w:r>
      </w:hyperlink>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2、</w:t>
      </w:r>
      <w:hyperlink r:id="rId8" w:history="1">
        <w:r>
          <w:rPr>
            <w:rStyle w:val="a7"/>
            <w:rFonts w:hint="eastAsia"/>
            <w:sz w:val="27"/>
            <w:szCs w:val="27"/>
          </w:rPr>
          <w:t>《优秀决策咨询成果推荐表》.docx</w:t>
        </w:r>
      </w:hyperlink>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3、</w:t>
      </w:r>
      <w:hyperlink r:id="rId9" w:history="1">
        <w:r>
          <w:rPr>
            <w:rStyle w:val="a7"/>
            <w:rFonts w:hint="eastAsia"/>
            <w:sz w:val="27"/>
            <w:szCs w:val="27"/>
          </w:rPr>
          <w:t>《优秀科研工作组织奖、项目中标奖、工作进步奖申报表》.xlsx</w:t>
        </w:r>
      </w:hyperlink>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4、</w:t>
      </w:r>
      <w:hyperlink r:id="rId10" w:history="1">
        <w:r>
          <w:rPr>
            <w:rStyle w:val="a7"/>
            <w:rFonts w:hint="eastAsia"/>
            <w:sz w:val="27"/>
            <w:szCs w:val="27"/>
          </w:rPr>
          <w:t>《优秀科研管理工作者推荐表》.docx</w:t>
        </w:r>
      </w:hyperlink>
    </w:p>
    <w:p w:rsidR="00FD4418" w:rsidRDefault="00FD4418" w:rsidP="00FD4418">
      <w:pPr>
        <w:pStyle w:val="a5"/>
        <w:spacing w:line="480" w:lineRule="atLeast"/>
        <w:rPr>
          <w:rFonts w:hint="eastAsia"/>
          <w:color w:val="686868"/>
          <w:sz w:val="27"/>
          <w:szCs w:val="27"/>
        </w:rPr>
      </w:pPr>
      <w:r>
        <w:rPr>
          <w:rFonts w:hint="eastAsia"/>
          <w:color w:val="686868"/>
          <w:sz w:val="27"/>
          <w:szCs w:val="27"/>
        </w:rPr>
        <w:t xml:space="preserve">　　                                              中共中央党校办公厅</w:t>
      </w:r>
    </w:p>
    <w:p w:rsidR="00FD4418" w:rsidRPr="00FD4418" w:rsidRDefault="00FD4418" w:rsidP="00FD4418">
      <w:pPr>
        <w:pStyle w:val="a5"/>
        <w:spacing w:line="480" w:lineRule="atLeast"/>
        <w:rPr>
          <w:color w:val="686868"/>
          <w:sz w:val="27"/>
          <w:szCs w:val="27"/>
        </w:rPr>
      </w:pPr>
      <w:r>
        <w:rPr>
          <w:rFonts w:hint="eastAsia"/>
          <w:color w:val="686868"/>
          <w:sz w:val="27"/>
          <w:szCs w:val="27"/>
        </w:rPr>
        <w:t xml:space="preserve">　　                                                 2016年9月21日</w:t>
      </w:r>
    </w:p>
    <w:sectPr w:rsidR="00FD4418" w:rsidRPr="00FD4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79" w:rsidRDefault="005B0C79" w:rsidP="00FD4418">
      <w:r>
        <w:separator/>
      </w:r>
    </w:p>
  </w:endnote>
  <w:endnote w:type="continuationSeparator" w:id="1">
    <w:p w:rsidR="005B0C79" w:rsidRDefault="005B0C79" w:rsidP="00FD4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79" w:rsidRDefault="005B0C79" w:rsidP="00FD4418">
      <w:r>
        <w:separator/>
      </w:r>
    </w:p>
  </w:footnote>
  <w:footnote w:type="continuationSeparator" w:id="1">
    <w:p w:rsidR="005B0C79" w:rsidRDefault="005B0C79" w:rsidP="00FD44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418"/>
    <w:rsid w:val="005B0C79"/>
    <w:rsid w:val="00FD4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418"/>
    <w:rPr>
      <w:sz w:val="18"/>
      <w:szCs w:val="18"/>
    </w:rPr>
  </w:style>
  <w:style w:type="paragraph" w:styleId="a4">
    <w:name w:val="footer"/>
    <w:basedOn w:val="a"/>
    <w:link w:val="Char0"/>
    <w:uiPriority w:val="99"/>
    <w:semiHidden/>
    <w:unhideWhenUsed/>
    <w:rsid w:val="00FD44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418"/>
    <w:rPr>
      <w:sz w:val="18"/>
      <w:szCs w:val="18"/>
    </w:rPr>
  </w:style>
  <w:style w:type="paragraph" w:styleId="a5">
    <w:name w:val="Normal (Web)"/>
    <w:basedOn w:val="a"/>
    <w:uiPriority w:val="99"/>
    <w:unhideWhenUsed/>
    <w:rsid w:val="00FD441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4418"/>
    <w:rPr>
      <w:b/>
      <w:bCs/>
    </w:rPr>
  </w:style>
  <w:style w:type="character" w:styleId="a7">
    <w:name w:val="Hyperlink"/>
    <w:basedOn w:val="a0"/>
    <w:uiPriority w:val="99"/>
    <w:semiHidden/>
    <w:unhideWhenUsed/>
    <w:rsid w:val="00FD4418"/>
    <w:rPr>
      <w:color w:val="0000FF"/>
      <w:u w:val="single"/>
    </w:rPr>
  </w:style>
</w:styles>
</file>

<file path=word/webSettings.xml><?xml version="1.0" encoding="utf-8"?>
<w:webSettings xmlns:r="http://schemas.openxmlformats.org/officeDocument/2006/relationships" xmlns:w="http://schemas.openxmlformats.org/wordprocessingml/2006/main">
  <w:divs>
    <w:div w:id="166020411">
      <w:bodyDiv w:val="1"/>
      <w:marLeft w:val="0"/>
      <w:marRight w:val="0"/>
      <w:marTop w:val="0"/>
      <w:marBottom w:val="0"/>
      <w:divBdr>
        <w:top w:val="none" w:sz="0" w:space="0" w:color="auto"/>
        <w:left w:val="none" w:sz="0" w:space="0" w:color="auto"/>
        <w:bottom w:val="none" w:sz="0" w:space="0" w:color="auto"/>
        <w:right w:val="none" w:sz="0" w:space="0" w:color="auto"/>
      </w:divBdr>
    </w:div>
    <w:div w:id="1235235233">
      <w:bodyDiv w:val="1"/>
      <w:marLeft w:val="0"/>
      <w:marRight w:val="0"/>
      <w:marTop w:val="0"/>
      <w:marBottom w:val="0"/>
      <w:divBdr>
        <w:top w:val="none" w:sz="0" w:space="0" w:color="auto"/>
        <w:left w:val="none" w:sz="0" w:space="0" w:color="auto"/>
        <w:bottom w:val="none" w:sz="0" w:space="0" w:color="auto"/>
        <w:right w:val="none" w:sz="0" w:space="0" w:color="auto"/>
      </w:divBdr>
      <w:divsChild>
        <w:div w:id="915669734">
          <w:marLeft w:val="0"/>
          <w:marRight w:val="0"/>
          <w:marTop w:val="0"/>
          <w:marBottom w:val="0"/>
          <w:divBdr>
            <w:top w:val="none" w:sz="0" w:space="0" w:color="auto"/>
            <w:left w:val="none" w:sz="0" w:space="0" w:color="auto"/>
            <w:bottom w:val="none" w:sz="0" w:space="0" w:color="auto"/>
            <w:right w:val="none" w:sz="0" w:space="0" w:color="auto"/>
          </w:divBdr>
          <w:divsChild>
            <w:div w:id="1612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3108">
      <w:bodyDiv w:val="1"/>
      <w:marLeft w:val="0"/>
      <w:marRight w:val="0"/>
      <w:marTop w:val="0"/>
      <w:marBottom w:val="0"/>
      <w:divBdr>
        <w:top w:val="none" w:sz="0" w:space="0" w:color="auto"/>
        <w:left w:val="none" w:sz="0" w:space="0" w:color="auto"/>
        <w:bottom w:val="none" w:sz="0" w:space="0" w:color="auto"/>
        <w:right w:val="none" w:sz="0" w:space="0" w:color="auto"/>
      </w:divBdr>
      <w:divsChild>
        <w:div w:id="1900088210">
          <w:marLeft w:val="0"/>
          <w:marRight w:val="0"/>
          <w:marTop w:val="0"/>
          <w:marBottom w:val="0"/>
          <w:divBdr>
            <w:top w:val="none" w:sz="0" w:space="0" w:color="auto"/>
            <w:left w:val="none" w:sz="0" w:space="0" w:color="auto"/>
            <w:bottom w:val="none" w:sz="0" w:space="0" w:color="auto"/>
            <w:right w:val="none" w:sz="0" w:space="0" w:color="auto"/>
          </w:divBdr>
          <w:divsChild>
            <w:div w:id="206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s.gov.cn/notice/201609/W020160930639020931529.docx" TargetMode="External"/><Relationship Id="rId3" Type="http://schemas.openxmlformats.org/officeDocument/2006/relationships/webSettings" Target="webSettings.xml"/><Relationship Id="rId7" Type="http://schemas.openxmlformats.org/officeDocument/2006/relationships/hyperlink" Target="http://www.ccps.gov.cn/notice/201609/W020160930639020932132.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ps.gov.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cps.gov.cn/notice/201609/W020160930639020938301.docx" TargetMode="External"/><Relationship Id="rId4" Type="http://schemas.openxmlformats.org/officeDocument/2006/relationships/footnotes" Target="footnotes.xml"/><Relationship Id="rId9" Type="http://schemas.openxmlformats.org/officeDocument/2006/relationships/hyperlink" Target="http://www.ccps.gov.cn/notice/201609/W020160930639020931135.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2016-10-08T01:48:00Z</dcterms:created>
  <dcterms:modified xsi:type="dcterms:W3CDTF">2016-10-08T01:50:00Z</dcterms:modified>
</cp:coreProperties>
</file>