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2022年度校（院）课题选题指南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一、重大调研课题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1.维护国家五大安全（国防、粮食、生态、能源、产业）对策研究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2.我省实施创新驱动发展战略障碍及突破路径研究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3.我省推进农业现代化，提高农业产能整体素质和竞争力对策研究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4.以“数字经济、生物经济、冰雪经济、创意设计”四大新兴产业为新引擎，构建龙江现代产业体系对策研究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5.黑龙江打造向北开放新高地路径研究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二、重点调研课题及青年调研课题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1.以（科技农业、绿色农业、质量农业、品牌农业）为抓手，推进农业高质量发展对策研究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2.黑龙江城乡区域协调发展对策研究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3.提升我省生态系统碳汇能力对策研究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4.推动我省文旅产业高质量发展对策研究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5.黑龙江省全域旅游发展对策研究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6.健全我省公共就业创业服务体系对策研究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7.健全干部担当作为激励和保护机制对策研究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8.推进能力作风建设常态长效对策研究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9.黑龙省人才振兴的实现路径研究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10.健全党建引领基层治理体制机制研究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11.加快推动我省创意设计产业发展路径研究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12.推进我省文化振兴计划实施路径研究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13.黑龙江省农业数字化转型发展研究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14.优化营商环境推进县域经济发展路径研究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15.数字经济赋能黑龙江省中小企业高质量发展研究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16.我省生物经济专业化园区建设研究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19.新时代我省实施人才振兴计划，全方位培养、引进、留住人才，选好用好人才对策研究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20.推动我省减污降碳协同增效路径研究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21.我省维护国家粮食安全，巩固提高粮食综合产能对策研究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 我省打造市场化法治化国际化一流营商环境对策研究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23.健全基层减负长效机制对策研究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24.健全培养选拔优秀年轻干部常态化工作机制研究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25.新发展阶段我省产业链现代化的实现路径研究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26.我省“146N”数字政府建设对策研究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27.加强高素质专业化干部队伍建设研究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28.</w:t>
      </w:r>
      <w:r>
        <w:rPr>
          <w:rFonts w:hint="eastAsia" w:ascii="仿宋" w:hAnsi="仿宋" w:eastAsia="仿宋"/>
          <w:sz w:val="32"/>
          <w:szCs w:val="32"/>
        </w:rPr>
        <w:t>提</w:t>
      </w:r>
      <w:r>
        <w:rPr>
          <w:rFonts w:hint="eastAsia" w:ascii="仿宋" w:hAnsi="仿宋" w:eastAsia="仿宋"/>
          <w:sz w:val="32"/>
          <w:szCs w:val="32"/>
          <w:lang w:eastAsia="zh-CN"/>
        </w:rPr>
        <w:t>高领导</w:t>
      </w:r>
      <w:r>
        <w:rPr>
          <w:rFonts w:hint="eastAsia" w:ascii="仿宋" w:hAnsi="仿宋" w:eastAsia="仿宋"/>
          <w:sz w:val="32"/>
          <w:szCs w:val="32"/>
        </w:rPr>
        <w:t>干部运用法治思维和法治方式处理经济社会事务的能力</w:t>
      </w:r>
      <w:r>
        <w:rPr>
          <w:rFonts w:hint="eastAsia" w:ascii="仿宋" w:hAnsi="仿宋" w:eastAsia="仿宋"/>
          <w:sz w:val="32"/>
          <w:szCs w:val="32"/>
          <w:lang w:eastAsia="zh-CN"/>
        </w:rPr>
        <w:t>对策研究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29.引导社会资本助力中小企业发展路径研究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三、理论课题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1.习近平总书记关于坚持和加强党的全面领导重要论述研究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2.习近平总书记关于作风建设的重要论述研究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3.新时代党的组织体系建设研究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4.习近平总书记关于铸牢中华民族共同体意识重要论述研究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5.质量龙江（幸福龙江）建设的理论思考与实践路径研究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6.全过程人民民主理论的龙江实践研究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7.中国共产党反腐败斗争百年历程及经验启示研究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8.习近平总书记关于全面从严治党重要论述研究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9.高层次创新人才集聚环境的评价体系与区域比较研究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10.增强人大对“一府一委两院”监督质效研究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11.阿城金上京、饶河小南山等历史文化遗产保护传承利用研究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四、教研咨一体化专项课题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1.新时代弘扬传承龙江四大精神路径研究</w:t>
      </w:r>
      <w:r>
        <w:rPr>
          <w:rFonts w:hint="eastAsia" w:ascii="仿宋" w:hAnsi="仿宋" w:eastAsia="仿宋"/>
          <w:sz w:val="32"/>
          <w:szCs w:val="32"/>
          <w:lang w:eastAsia="zh-CN"/>
        </w:rPr>
        <w:t>（主题教室情景式教学研究可考虑从此方向申报）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2.推动我省冰雪产业高质量发展对策研究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3.新时代提高领导干部抓落实能力研究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4.讲好龙江故事 弘扬龙江精神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5.大小兴安岭生态功能区高质量发展促进共同富裕：逻辑、现状与实践路径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6.“大食物观”下的粮食安全问题研究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jg1YWEyZWViOTQ5NzgwZDkzNzI3NTEyMTE3NGIifQ=="/>
  </w:docVars>
  <w:rsids>
    <w:rsidRoot w:val="00A86A38"/>
    <w:rsid w:val="00037D9D"/>
    <w:rsid w:val="000C0CFB"/>
    <w:rsid w:val="0022118B"/>
    <w:rsid w:val="00263717"/>
    <w:rsid w:val="002819B2"/>
    <w:rsid w:val="00294ED6"/>
    <w:rsid w:val="002A2505"/>
    <w:rsid w:val="002A75A4"/>
    <w:rsid w:val="003F2878"/>
    <w:rsid w:val="0040041C"/>
    <w:rsid w:val="0050560B"/>
    <w:rsid w:val="00513CD7"/>
    <w:rsid w:val="005A3FBD"/>
    <w:rsid w:val="005F736F"/>
    <w:rsid w:val="00656E67"/>
    <w:rsid w:val="00670A3C"/>
    <w:rsid w:val="0069146B"/>
    <w:rsid w:val="007F7CD4"/>
    <w:rsid w:val="008369D5"/>
    <w:rsid w:val="00863F4A"/>
    <w:rsid w:val="00933543"/>
    <w:rsid w:val="009E264C"/>
    <w:rsid w:val="00A708B8"/>
    <w:rsid w:val="00A86A38"/>
    <w:rsid w:val="00B04AC8"/>
    <w:rsid w:val="00B54BAD"/>
    <w:rsid w:val="00B66476"/>
    <w:rsid w:val="00BC4F5F"/>
    <w:rsid w:val="00C21D7B"/>
    <w:rsid w:val="00C45681"/>
    <w:rsid w:val="00D2356B"/>
    <w:rsid w:val="00D31D47"/>
    <w:rsid w:val="00D44490"/>
    <w:rsid w:val="00D70859"/>
    <w:rsid w:val="00D763AE"/>
    <w:rsid w:val="00D7662B"/>
    <w:rsid w:val="00DF2E25"/>
    <w:rsid w:val="00EE19DD"/>
    <w:rsid w:val="00EF12B9"/>
    <w:rsid w:val="00F77CB5"/>
    <w:rsid w:val="00FB42B8"/>
    <w:rsid w:val="00FC48B4"/>
    <w:rsid w:val="00FE54BD"/>
    <w:rsid w:val="0C181B9D"/>
    <w:rsid w:val="0FC23FD2"/>
    <w:rsid w:val="2AFD73C3"/>
    <w:rsid w:val="2F993148"/>
    <w:rsid w:val="308C79A7"/>
    <w:rsid w:val="31DB1C9A"/>
    <w:rsid w:val="31F33718"/>
    <w:rsid w:val="32775B8E"/>
    <w:rsid w:val="406D3E12"/>
    <w:rsid w:val="408E5B37"/>
    <w:rsid w:val="525A485B"/>
    <w:rsid w:val="56522F1E"/>
    <w:rsid w:val="57C87729"/>
    <w:rsid w:val="68506E3A"/>
    <w:rsid w:val="693767B4"/>
    <w:rsid w:val="707A6585"/>
    <w:rsid w:val="70D97E32"/>
    <w:rsid w:val="74D053B1"/>
    <w:rsid w:val="76D96E05"/>
    <w:rsid w:val="7A786568"/>
    <w:rsid w:val="7B892BA7"/>
    <w:rsid w:val="7F6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8AE2-9531-4DD9-95ED-FC1DDCEE2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1131</Words>
  <Characters>1206</Characters>
  <Lines>8</Lines>
  <Paragraphs>2</Paragraphs>
  <TotalTime>45</TotalTime>
  <ScaleCrop>false</ScaleCrop>
  <LinksUpToDate>false</LinksUpToDate>
  <CharactersWithSpaces>1208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秦</cp:lastModifiedBy>
  <cp:lastPrinted>2022-06-01T03:14:00Z</cp:lastPrinted>
  <dcterms:modified xsi:type="dcterms:W3CDTF">2022-07-08T02:29:59Z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7AB6BE9EC957479D8BE6DEC8E260499B</vt:lpwstr>
  </property>
</Properties>
</file>